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г. Ярославль                                                                                              «____»____________201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 в дальнейшем «Претендент», в лице ________________________________________________________________________________ ,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__  на основании ______________________________________,    с одной стороны,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</w:t>
      </w:r>
      <w:r w:rsidR="00EF5B4E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</w:t>
      </w: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(</w:t>
      </w:r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устава, доверенности и т. д.)                                            </w:t>
      </w:r>
    </w:p>
    <w:p w:rsidR="00E16927" w:rsidRDefault="00EF5B4E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proofErr w:type="gramStart"/>
      <w:r w:rsidRPr="00EF5B4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proofErr w:type="gramEnd"/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Общество с ограниченной ответственностью "Ярославнефтеоргсинтез-Энерго" (ООО "ЯНОС-Энерго")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Д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иректора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Воробьева Александра Александровича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1049"/>
        <w:gridCol w:w="4020"/>
        <w:gridCol w:w="3295"/>
      </w:tblGrid>
      <w:tr w:rsidR="001A717E" w:rsidRPr="001A717E" w:rsidTr="001A717E">
        <w:trPr>
          <w:trHeight w:val="6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№ позиции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лома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Сумма задатка, руб. без НДС*</w:t>
            </w:r>
          </w:p>
        </w:tc>
      </w:tr>
      <w:tr w:rsidR="00EF5B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4E" w:rsidRPr="001A717E" w:rsidRDefault="00EF5B4E" w:rsidP="00EF5B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bookmarkStart w:id="0" w:name="_GoBack"/>
            <w:bookmarkEnd w:id="0"/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Лом меди М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4E" w:rsidRPr="00475095" w:rsidRDefault="00EF5B4E" w:rsidP="00475095">
            <w:pPr>
              <w:spacing w:after="0"/>
              <w:rPr>
                <w:rFonts w:ascii="Times New Roman" w:hAnsi="Times New Roman"/>
              </w:rPr>
            </w:pPr>
          </w:p>
        </w:tc>
      </w:tr>
      <w:tr w:rsidR="00EF5B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4E" w:rsidRPr="001A717E" w:rsidRDefault="00EF5B4E" w:rsidP="00F0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меди М 12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95" w:rsidRPr="00475095" w:rsidRDefault="00475095" w:rsidP="00475095">
            <w:pPr>
              <w:spacing w:after="0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EF5B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4E" w:rsidRPr="001A717E" w:rsidRDefault="00EF5B4E" w:rsidP="0042694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алюминия А 26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4E" w:rsidRPr="00475095" w:rsidRDefault="00EF5B4E" w:rsidP="00475095">
            <w:pPr>
              <w:spacing w:after="0"/>
              <w:rPr>
                <w:rFonts w:ascii="Times New Roman" w:hAnsi="Times New Roman"/>
              </w:rPr>
            </w:pPr>
          </w:p>
        </w:tc>
      </w:tr>
      <w:tr w:rsidR="00EF5B4E" w:rsidRPr="001A717E" w:rsidTr="00603F89">
        <w:trPr>
          <w:trHeight w:val="315"/>
        </w:trPr>
        <w:tc>
          <w:tcPr>
            <w:tcW w:w="5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EF5B4E" w:rsidRPr="001A717E" w:rsidRDefault="00EF5B4E" w:rsidP="001A71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 Итого: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B4E" w:rsidRPr="00475095" w:rsidRDefault="00EF5B4E" w:rsidP="0047509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tbl>
      <w:tblPr>
        <w:tblW w:w="6188" w:type="dxa"/>
        <w:tblInd w:w="-162" w:type="dxa"/>
        <w:tblLook w:val="04A0" w:firstRow="1" w:lastRow="0" w:firstColumn="1" w:lastColumn="0" w:noHBand="0" w:noVBand="1"/>
      </w:tblPr>
      <w:tblGrid>
        <w:gridCol w:w="6188"/>
      </w:tblGrid>
      <w:tr w:rsidR="001A717E" w:rsidRPr="00D46B8A" w:rsidTr="00D46B8A">
        <w:trPr>
          <w:trHeight w:val="346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5972" w:type="dxa"/>
              <w:tblLook w:val="04A0" w:firstRow="1" w:lastRow="0" w:firstColumn="1" w:lastColumn="0" w:noHBand="0" w:noVBand="1"/>
            </w:tblPr>
            <w:tblGrid>
              <w:gridCol w:w="5972"/>
            </w:tblGrid>
            <w:tr w:rsidR="00D46B8A" w:rsidRPr="00D46B8A" w:rsidTr="004A52D0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vAlign w:val="center"/>
                  <w:hideMark/>
                </w:tcPr>
                <w:p w:rsidR="00D46B8A" w:rsidRPr="00D46B8A" w:rsidRDefault="00D46B8A" w:rsidP="00D46B8A">
                  <w:pPr>
                    <w:spacing w:after="0" w:line="240" w:lineRule="auto"/>
                    <w:ind w:firstLineChars="24" w:firstLine="5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6B8A">
                    <w:rPr>
                      <w:rFonts w:ascii="Times New Roman" w:hAnsi="Times New Roman"/>
                    </w:rPr>
                    <w:t>1 - Лом обмоток электродвигателей (</w:t>
                  </w:r>
                  <w:proofErr w:type="spellStart"/>
                  <w:r w:rsidRPr="00D46B8A">
                    <w:rPr>
                      <w:rFonts w:ascii="Times New Roman" w:hAnsi="Times New Roman"/>
                    </w:rPr>
                    <w:t>обожженый</w:t>
                  </w:r>
                  <w:proofErr w:type="spellEnd"/>
                  <w:r w:rsidRPr="00D46B8A">
                    <w:rPr>
                      <w:rFonts w:ascii="Times New Roman" w:hAnsi="Times New Roman"/>
                    </w:rPr>
                    <w:t>)</w:t>
                  </w:r>
                </w:p>
              </w:tc>
            </w:tr>
            <w:tr w:rsidR="00D46B8A" w:rsidRPr="00D46B8A" w:rsidTr="004A52D0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vAlign w:val="center"/>
                  <w:hideMark/>
                </w:tcPr>
                <w:p w:rsidR="00D46B8A" w:rsidRPr="00D46B8A" w:rsidRDefault="00D46B8A" w:rsidP="00D46B8A">
                  <w:pPr>
                    <w:spacing w:after="0" w:line="240" w:lineRule="auto"/>
                    <w:ind w:firstLineChars="24" w:firstLine="5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6B8A">
                    <w:rPr>
                      <w:rFonts w:ascii="Times New Roman" w:hAnsi="Times New Roman"/>
                    </w:rPr>
                    <w:t xml:space="preserve">2 - Лом медного кабеля (в изоляции) </w:t>
                  </w:r>
                </w:p>
              </w:tc>
            </w:tr>
            <w:tr w:rsidR="00D46B8A" w:rsidRPr="00D46B8A" w:rsidTr="004A52D0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vAlign w:val="center"/>
                  <w:hideMark/>
                </w:tcPr>
                <w:p w:rsidR="00D46B8A" w:rsidRPr="00D46B8A" w:rsidRDefault="00D46B8A" w:rsidP="002D4C17">
                  <w:pPr>
                    <w:spacing w:after="0" w:line="240" w:lineRule="auto"/>
                    <w:ind w:firstLineChars="24" w:firstLine="5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6B8A">
                    <w:rPr>
                      <w:rFonts w:ascii="Times New Roman" w:hAnsi="Times New Roman"/>
                    </w:rPr>
                    <w:t xml:space="preserve">3 - </w:t>
                  </w:r>
                  <w:r w:rsidR="002D4C17">
                    <w:rPr>
                      <w:rFonts w:ascii="Times New Roman" w:hAnsi="Times New Roman"/>
                    </w:rPr>
                    <w:t>Лом</w:t>
                  </w:r>
                  <w:r w:rsidRPr="00D46B8A">
                    <w:rPr>
                      <w:rFonts w:ascii="Times New Roman" w:hAnsi="Times New Roman"/>
                    </w:rPr>
                    <w:t xml:space="preserve"> алюминиевого кабеля (в изоляции) </w:t>
                  </w:r>
                </w:p>
              </w:tc>
            </w:tr>
          </w:tbl>
          <w:p w:rsidR="001A717E" w:rsidRPr="00D46B8A" w:rsidRDefault="001A717E" w:rsidP="001A7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</w:tbl>
    <w:p w:rsidR="005F0C8A" w:rsidRDefault="005F0C8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согласно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ПДО № __________________ от «___»</w:t>
      </w:r>
      <w:r w:rsidR="00933CE4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</w:t>
      </w:r>
      <w:r w:rsidR="00E32DB4" w:rsidRPr="001C6FBF">
        <w:rPr>
          <w:rFonts w:ascii="Times New Roman" w:eastAsia="Times New Roman" w:hAnsi="Times New Roman"/>
          <w:sz w:val="23"/>
          <w:szCs w:val="23"/>
          <w:lang w:eastAsia="ru-RU"/>
        </w:rPr>
        <w:t>___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г., перечисляет денежные средства в размере  ___________ (________________) 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E16927" w:rsidRPr="001C6FBF" w:rsidRDefault="00EF5B4E" w:rsidP="00EF5B4E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Общество с ограниченной ответственностью "Ярославнефтеоргсинтез-Энерго" (ООО "ЯНОС-Энерго")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ИНН/КПП 7604227166 / 760408001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счет  №</w:t>
      </w:r>
      <w:proofErr w:type="gram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 40702810700000023056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в АО "Райффайзенбанк" г.Москва, 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БИК 044525700</w:t>
      </w:r>
    </w:p>
    <w:p w:rsidR="00E16927" w:rsidRPr="001C6FBF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кор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./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сч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. 30101810200000000700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2.1. Задаток должен быть внесен Претендентом на указанный в пункте 1.1 настоящего Соглашения счет не позднее срока окончания сбора оферт, указанного в ПДО, а именно, 16 часов 00 минут (время московское</w:t>
      </w:r>
      <w:r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>) "___" _________ 20</w:t>
      </w:r>
      <w:r w:rsidR="003D55F5"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>1</w:t>
      </w:r>
      <w:r w:rsidR="003945E1"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>9</w:t>
      </w:r>
      <w:r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г.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>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и считается внесенным с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7F2719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3.2. В случае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Претендент участ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вовал в конкурентной процедуре и не был признан победителем ни по одной позиции делимого лот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а,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 xml:space="preserve"> указанного в п.1.1. 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астоящего Соглашения о задатке,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Продавец обязуется возвратить сумму внесенного Претендентом задатка не позднее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с даты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заседания Конкурсной комиссии Продавца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1A717E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lastRenderedPageBreak/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>:</w:t>
            </w:r>
          </w:p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 </w:t>
            </w:r>
          </w:p>
          <w:p w:rsidR="00EF5B4E" w:rsidRPr="00EF5B4E" w:rsidRDefault="00EF5B4E" w:rsidP="00EF5B4E">
            <w:pPr>
              <w:spacing w:before="120" w:after="0" w:line="240" w:lineRule="auto"/>
              <w:contextualSpacing/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  <w:t>ООО "ЯНОС-Энерго"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Местонахождение: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Российская Федерация,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150023, Ярославская область, </w:t>
            </w:r>
          </w:p>
          <w:p w:rsidR="00EF5B4E" w:rsidRPr="00EF5B4E" w:rsidRDefault="00EF5B4E" w:rsidP="00EF5B4E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г.Ярославль, Московский проспект, д.150.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150023, Р.Ф., г.Ярославль, Московский </w:t>
            </w:r>
          </w:p>
          <w:p w:rsidR="00EF5B4E" w:rsidRPr="00EF5B4E" w:rsidRDefault="00EF5B4E" w:rsidP="00EF5B4E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проспект, д.150, а/я 1207.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Тел. (4852) 20-92-01, 20-91-88. 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ИНН/КПП 7604227166 / 760408001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Р/</w:t>
            </w:r>
            <w:proofErr w:type="gram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счет  №</w:t>
            </w:r>
            <w:proofErr w:type="gram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40702810700000023056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в АО "Райффайзенбанк" г.Москва,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БИК 044525700</w:t>
            </w:r>
          </w:p>
          <w:p w:rsidR="00E16927" w:rsidRPr="001C6FBF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кор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./</w:t>
            </w: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сч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 30101810200000000700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Pr="001C6FBF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7F2719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Директор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ООО "ЯНОС-Энерго"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____________________ А.А.  Воробьев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F5B4E" w:rsidRPr="001C6FBF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E1"/>
    <w:rsid w:val="00054BFD"/>
    <w:rsid w:val="0007440E"/>
    <w:rsid w:val="00161146"/>
    <w:rsid w:val="001A717E"/>
    <w:rsid w:val="001C6FBF"/>
    <w:rsid w:val="001C796A"/>
    <w:rsid w:val="00272ED7"/>
    <w:rsid w:val="002D4C17"/>
    <w:rsid w:val="003945E1"/>
    <w:rsid w:val="003B2D8E"/>
    <w:rsid w:val="003D55F5"/>
    <w:rsid w:val="003F351E"/>
    <w:rsid w:val="00475095"/>
    <w:rsid w:val="0049419B"/>
    <w:rsid w:val="004C1701"/>
    <w:rsid w:val="00597CC3"/>
    <w:rsid w:val="005F0C8A"/>
    <w:rsid w:val="005F2368"/>
    <w:rsid w:val="00603F89"/>
    <w:rsid w:val="006867E1"/>
    <w:rsid w:val="007A62C9"/>
    <w:rsid w:val="007F2719"/>
    <w:rsid w:val="008159FE"/>
    <w:rsid w:val="00870A21"/>
    <w:rsid w:val="00933CE4"/>
    <w:rsid w:val="00D044FF"/>
    <w:rsid w:val="00D46B8A"/>
    <w:rsid w:val="00E16927"/>
    <w:rsid w:val="00E32DB4"/>
    <w:rsid w:val="00EF5B4E"/>
    <w:rsid w:val="00F84B82"/>
    <w:rsid w:val="00FA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18600-2920-4814-9FA1-B68BA030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856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ZaprudnovIS</cp:lastModifiedBy>
  <cp:revision>10</cp:revision>
  <dcterms:created xsi:type="dcterms:W3CDTF">2019-07-24T08:07:00Z</dcterms:created>
  <dcterms:modified xsi:type="dcterms:W3CDTF">2019-12-02T12:08:00Z</dcterms:modified>
</cp:coreProperties>
</file>